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5AB72F2F"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BB2E6C">
        <w:rPr>
          <w:rFonts w:ascii="Patua One" w:hAnsi="Patua One"/>
          <w:sz w:val="24"/>
          <w:szCs w:val="24"/>
        </w:rPr>
        <w:t>0</w:t>
      </w:r>
      <w:r w:rsidR="00EE0866">
        <w:rPr>
          <w:rFonts w:ascii="Patua One" w:hAnsi="Patua One"/>
          <w:sz w:val="24"/>
          <w:szCs w:val="24"/>
        </w:rPr>
        <w:t>6</w:t>
      </w:r>
      <w:r>
        <w:rPr>
          <w:rFonts w:ascii="Patua One" w:hAnsi="Patua One"/>
          <w:sz w:val="24"/>
          <w:szCs w:val="24"/>
        </w:rPr>
        <w:t>.</w:t>
      </w:r>
      <w:r w:rsidR="00BB2E6C">
        <w:rPr>
          <w:rFonts w:ascii="Patua One" w:hAnsi="Patua One"/>
          <w:sz w:val="24"/>
          <w:szCs w:val="24"/>
        </w:rPr>
        <w:t>11</w:t>
      </w:r>
      <w:r>
        <w:rPr>
          <w:rFonts w:ascii="Patua One" w:hAnsi="Patua One"/>
          <w:sz w:val="24"/>
          <w:szCs w:val="24"/>
        </w:rPr>
        <w:t>.202</w:t>
      </w:r>
      <w:r w:rsidR="00D26032">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4D691243" w14:textId="6BA2A295" w:rsidR="0035791C" w:rsidRPr="00F31A0C" w:rsidRDefault="0035791C" w:rsidP="0035791C">
      <w:pPr>
        <w:spacing w:line="360" w:lineRule="auto"/>
        <w:rPr>
          <w:rFonts w:ascii="Patua One" w:hAnsi="Patua One"/>
          <w:sz w:val="32"/>
          <w:szCs w:val="32"/>
        </w:rPr>
      </w:pPr>
    </w:p>
    <w:p w14:paraId="7A533E65" w14:textId="695DC741" w:rsidR="00BB2E6C" w:rsidRPr="00BB2E6C" w:rsidRDefault="00BB2E6C" w:rsidP="00F328F5">
      <w:pPr>
        <w:spacing w:line="360" w:lineRule="auto"/>
        <w:rPr>
          <w:rFonts w:ascii="Patua One" w:hAnsi="Patua One"/>
          <w:sz w:val="32"/>
          <w:szCs w:val="32"/>
        </w:rPr>
      </w:pPr>
      <w:r w:rsidRPr="00BB2E6C">
        <w:rPr>
          <w:rFonts w:ascii="Patua One" w:hAnsi="Patua One"/>
          <w:sz w:val="44"/>
          <w:szCs w:val="44"/>
        </w:rPr>
        <w:t>Hermannshöhle schließt</w:t>
      </w:r>
      <w:r>
        <w:rPr>
          <w:rFonts w:ascii="Patua One" w:hAnsi="Patua One"/>
          <w:sz w:val="44"/>
          <w:szCs w:val="44"/>
        </w:rPr>
        <w:br/>
      </w:r>
      <w:r>
        <w:rPr>
          <w:rFonts w:ascii="Patua One" w:hAnsi="Patua One"/>
          <w:sz w:val="32"/>
          <w:szCs w:val="32"/>
        </w:rPr>
        <w:t>Ab 15. November herrscht „Winterruhe“ in der Tropfsteinhöhle</w:t>
      </w:r>
    </w:p>
    <w:p w14:paraId="10E0B1F4" w14:textId="77777777" w:rsidR="00BB2E6C" w:rsidRDefault="00BB2E6C" w:rsidP="009F31D5">
      <w:pPr>
        <w:spacing w:line="360" w:lineRule="auto"/>
        <w:rPr>
          <w:rFonts w:ascii="Myriad Pro" w:hAnsi="Myriad Pro"/>
        </w:rPr>
      </w:pPr>
    </w:p>
    <w:p w14:paraId="08EEF151" w14:textId="0DEB4AE2" w:rsidR="000D33D3" w:rsidRDefault="00F328F5" w:rsidP="00BB2E6C">
      <w:pPr>
        <w:spacing w:line="360" w:lineRule="auto"/>
        <w:rPr>
          <w:rFonts w:ascii="Myriad Pro" w:hAnsi="Myriad Pro"/>
        </w:rPr>
      </w:pPr>
      <w:r w:rsidRPr="00750401">
        <w:rPr>
          <w:rFonts w:ascii="Myriad Pro" w:hAnsi="Myriad Pro"/>
        </w:rPr>
        <w:t xml:space="preserve">RÜBELAND. </w:t>
      </w:r>
      <w:r w:rsidR="00BB2E6C">
        <w:rPr>
          <w:rFonts w:ascii="Myriad Pro" w:hAnsi="Myriad Pro"/>
        </w:rPr>
        <w:t xml:space="preserve">Wer die faszinierenden Tropfsteingebilde, Kristalle und Grottenolme der Hermannshöhle in </w:t>
      </w:r>
      <w:r w:rsidR="00F44518">
        <w:rPr>
          <w:rFonts w:ascii="Myriad Pro" w:hAnsi="Myriad Pro"/>
        </w:rPr>
        <w:t>diesem Jahr</w:t>
      </w:r>
      <w:r w:rsidR="00BB2E6C">
        <w:rPr>
          <w:rFonts w:ascii="Myriad Pro" w:hAnsi="Myriad Pro"/>
        </w:rPr>
        <w:t xml:space="preserve"> noch einmal zu Gesicht bekommen möchte, der muss schnell sein. Denn</w:t>
      </w:r>
      <w:r w:rsidR="005C417F">
        <w:rPr>
          <w:rFonts w:ascii="Myriad Pro" w:hAnsi="Myriad Pro"/>
        </w:rPr>
        <w:t xml:space="preserve">, </w:t>
      </w:r>
      <w:r w:rsidR="00BB2E6C">
        <w:rPr>
          <w:rFonts w:ascii="Myriad Pro" w:hAnsi="Myriad Pro"/>
        </w:rPr>
        <w:t xml:space="preserve">am 14. November </w:t>
      </w:r>
      <w:r w:rsidR="005C417F">
        <w:rPr>
          <w:rFonts w:ascii="Myriad Pro" w:hAnsi="Myriad Pro"/>
        </w:rPr>
        <w:t xml:space="preserve">besteht </w:t>
      </w:r>
      <w:r w:rsidR="00BB2E6C">
        <w:rPr>
          <w:rFonts w:ascii="Myriad Pro" w:hAnsi="Myriad Pro"/>
        </w:rPr>
        <w:t>letztmalig die Chance</w:t>
      </w:r>
      <w:r w:rsidR="005C417F">
        <w:rPr>
          <w:rFonts w:ascii="Myriad Pro" w:hAnsi="Myriad Pro"/>
        </w:rPr>
        <w:t xml:space="preserve"> eines geführten Rundgangs</w:t>
      </w:r>
      <w:r w:rsidR="00BB2E6C">
        <w:rPr>
          <w:rFonts w:ascii="Myriad Pro" w:hAnsi="Myriad Pro"/>
        </w:rPr>
        <w:t>. Ab 15. November wechselt die Tropfsteinhöhle</w:t>
      </w:r>
      <w:r w:rsidR="005C417F">
        <w:rPr>
          <w:rFonts w:ascii="Myriad Pro" w:hAnsi="Myriad Pro"/>
        </w:rPr>
        <w:t xml:space="preserve"> dann</w:t>
      </w:r>
      <w:r w:rsidR="00BB2E6C">
        <w:rPr>
          <w:rFonts w:ascii="Myriad Pro" w:hAnsi="Myriad Pro"/>
        </w:rPr>
        <w:t xml:space="preserve"> in die alljährliche Winterschließzeit und kann erst im Frühjahr 2025 wieder besichtigt werden. </w:t>
      </w:r>
    </w:p>
    <w:p w14:paraId="55DF2394" w14:textId="2047B778" w:rsidR="00BB2E6C" w:rsidRDefault="00BB2E6C" w:rsidP="00BB2E6C">
      <w:pPr>
        <w:spacing w:line="360" w:lineRule="auto"/>
        <w:rPr>
          <w:rFonts w:ascii="Myriad Pro" w:hAnsi="Myriad Pro"/>
        </w:rPr>
      </w:pPr>
      <w:r>
        <w:rPr>
          <w:rFonts w:ascii="Myriad Pro" w:hAnsi="Myriad Pro"/>
        </w:rPr>
        <w:t>„Wir sind jedes Jahr aufs Neue überrascht, wie schnell die Saison in der Hermannshöhle vorbeigeht“, bestätigt Thomas Schult, Betriebsleiter der Rübeländer Tropfsteinhöhlen.</w:t>
      </w:r>
      <w:r w:rsidR="00AF46C5">
        <w:rPr>
          <w:rFonts w:ascii="Myriad Pro" w:hAnsi="Myriad Pro"/>
        </w:rPr>
        <w:t xml:space="preserve"> Dadurch, dass die Hermannshöhle Winterquartier für die unter Naturschutz stehende Fledermaus sei, bestehe die Möglichkeit zum Höhlen-Besuch meist nur rund sieben Monate pro Jahr. „Als geologisches Naturdenkmal und im Sinne eines naturverträglichen Tourismus hat die Notwendigkeit dieser Schließzeit für uns oberste Priorität“, betont Schult. </w:t>
      </w:r>
      <w:r w:rsidR="00F44518">
        <w:rPr>
          <w:rFonts w:ascii="Myriad Pro" w:hAnsi="Myriad Pro"/>
        </w:rPr>
        <w:t>Denn, a</w:t>
      </w:r>
      <w:r w:rsidR="00AF46C5">
        <w:rPr>
          <w:rFonts w:ascii="Myriad Pro" w:hAnsi="Myriad Pro"/>
        </w:rPr>
        <w:t>uch die in der Hermannshöhle beheimateten Grottenolme erhielten in dieser Zeit die Möglichkeit einer längeren Ruhephase.</w:t>
      </w:r>
    </w:p>
    <w:p w14:paraId="70A52CD5" w14:textId="3789842D" w:rsidR="00F44518" w:rsidRDefault="00AF46C5" w:rsidP="00F44518">
      <w:pPr>
        <w:spacing w:line="360" w:lineRule="auto"/>
        <w:rPr>
          <w:rFonts w:ascii="Myriad Pro" w:hAnsi="Myriad Pro"/>
        </w:rPr>
      </w:pPr>
      <w:r>
        <w:rPr>
          <w:rFonts w:ascii="Myriad Pro" w:hAnsi="Myriad Pro"/>
        </w:rPr>
        <w:t xml:space="preserve">Wer auf einen Höhlen-Besuch nicht bis 2025 warten möchte, für den ist die gegenüberliegende Baumannshöhle die richtige Anlaufstelle. Führungen werden hier ganzjährig angeboten, ebenso </w:t>
      </w:r>
      <w:r w:rsidR="00F44518">
        <w:rPr>
          <w:rFonts w:ascii="Myriad Pro" w:hAnsi="Myriad Pro"/>
        </w:rPr>
        <w:t xml:space="preserve">untertägige Theater-Veranstaltungen, Konzerte und Kinder-Taschenlampenführungen. „Besonderes Highlight vor Weihnachten ist das Erlebnis-Theater „Eine Weihnachtsgeschichte““, so Schult. Das Stück, das auf der gleichnamigen Erzählung von Charles Dickens fußt, werde im Advent gleich mehrfach gespielt, so unter anderem am 07./08./14. und 15. Dezember sowie zwischen Weihnachten und Silvester. Tickets und weitere Informationen sind ab sofort im Online-Vorverkauf unter </w:t>
      </w:r>
      <w:r w:rsidR="00F44518" w:rsidRPr="00AF49BC">
        <w:rPr>
          <w:rFonts w:ascii="Myriad Pro" w:hAnsi="Myriad Pro"/>
        </w:rPr>
        <w:t>www.harzer-hoehlen.de</w:t>
      </w:r>
      <w:r w:rsidR="00F44518">
        <w:rPr>
          <w:rFonts w:ascii="Myriad Pro" w:hAnsi="Myriad Pro"/>
        </w:rPr>
        <w:t xml:space="preserve"> erhältlich.</w:t>
      </w:r>
    </w:p>
    <w:p w14:paraId="16DD033E" w14:textId="0BB5ECD4" w:rsidR="00F44518" w:rsidRDefault="00F44518" w:rsidP="00BB2E6C">
      <w:pPr>
        <w:spacing w:line="360" w:lineRule="auto"/>
        <w:rPr>
          <w:rFonts w:ascii="Myriad Pro" w:hAnsi="Myriad Pro"/>
        </w:rPr>
      </w:pPr>
    </w:p>
    <w:p w14:paraId="3D93B449" w14:textId="77777777" w:rsidR="00BB2E6C" w:rsidRDefault="00BB2E6C" w:rsidP="00BB2E6C">
      <w:pPr>
        <w:spacing w:line="360" w:lineRule="auto"/>
        <w:rPr>
          <w:rFonts w:ascii="Myriad Pro" w:hAnsi="Myriad Pro"/>
        </w:rPr>
      </w:pPr>
    </w:p>
    <w:p w14:paraId="6E215069" w14:textId="3EF61B65" w:rsidR="00067346" w:rsidRDefault="00067346" w:rsidP="009F31D5">
      <w:pPr>
        <w:spacing w:line="360" w:lineRule="auto"/>
        <w:rPr>
          <w:rFonts w:ascii="Myriad Pro" w:hAnsi="Myriad Pro"/>
        </w:rPr>
      </w:pPr>
      <w:r>
        <w:rPr>
          <w:rFonts w:ascii="Myriad Pro" w:hAnsi="Myriad Pro"/>
        </w:rPr>
        <w:t>Alle Informationen rund um die Öffnungszeiten, Tickets und Veranstaltungen in den Tropfsteinhöhlen Rübeland sind jederzeit online unter www.harzer-hoehlen.de erhältlich.</w:t>
      </w:r>
    </w:p>
    <w:p w14:paraId="260CD53F" w14:textId="77777777" w:rsidR="00FD4D2A" w:rsidRDefault="00FD4D2A" w:rsidP="009F31D5">
      <w:pPr>
        <w:spacing w:line="360" w:lineRule="auto"/>
        <w:rPr>
          <w:rFonts w:ascii="Myriad Pro" w:hAnsi="Myriad Pro"/>
        </w:rPr>
      </w:pPr>
    </w:p>
    <w:p w14:paraId="5CEB943C" w14:textId="30BDA296" w:rsidR="005B7F19" w:rsidRDefault="00F328F5" w:rsidP="00F328F5">
      <w:pPr>
        <w:spacing w:line="360" w:lineRule="auto"/>
        <w:rPr>
          <w:rFonts w:ascii="Myriad Pro" w:hAnsi="Myriad Pro"/>
        </w:rPr>
      </w:pPr>
      <w:r w:rsidRPr="00750401">
        <w:rPr>
          <w:rFonts w:ascii="Myriad Pro" w:hAnsi="Myriad Pro"/>
        </w:rPr>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p w14:paraId="390F4958" w14:textId="77777777" w:rsidR="0035791C" w:rsidRDefault="0035791C" w:rsidP="00F328F5">
      <w:pPr>
        <w:spacing w:line="360" w:lineRule="auto"/>
        <w:rPr>
          <w:rFonts w:ascii="Myriad Pro" w:hAnsi="Myriad Pro"/>
        </w:rPr>
      </w:pPr>
    </w:p>
    <w:p w14:paraId="3312E93E" w14:textId="77777777" w:rsidR="0035791C" w:rsidRDefault="0035791C" w:rsidP="0035791C">
      <w:pPr>
        <w:spacing w:after="0" w:line="360" w:lineRule="auto"/>
        <w:rPr>
          <w:rFonts w:ascii="Myriad Pro" w:hAnsi="Myriad Pro"/>
          <w:sz w:val="20"/>
          <w:szCs w:val="20"/>
        </w:rPr>
      </w:pPr>
    </w:p>
    <w:p w14:paraId="1E5C7480" w14:textId="77777777" w:rsidR="0035791C" w:rsidRDefault="0035791C" w:rsidP="0035791C">
      <w:pPr>
        <w:spacing w:after="0" w:line="360" w:lineRule="auto"/>
        <w:rPr>
          <w:rFonts w:ascii="Myriad Pro" w:hAnsi="Myriad Pro"/>
          <w:sz w:val="20"/>
          <w:szCs w:val="20"/>
        </w:rPr>
      </w:pPr>
    </w:p>
    <w:p w14:paraId="56C109F9" w14:textId="77777777" w:rsidR="0035791C" w:rsidRDefault="0035791C" w:rsidP="0035791C">
      <w:pPr>
        <w:spacing w:after="0" w:line="360" w:lineRule="auto"/>
        <w:rPr>
          <w:rFonts w:ascii="Myriad Pro" w:hAnsi="Myriad Pro"/>
          <w:sz w:val="20"/>
          <w:szCs w:val="20"/>
        </w:rPr>
      </w:pPr>
    </w:p>
    <w:p w14:paraId="475241D1" w14:textId="77777777" w:rsidR="0035791C" w:rsidRDefault="0035791C" w:rsidP="0035791C">
      <w:pPr>
        <w:spacing w:after="0" w:line="360" w:lineRule="auto"/>
        <w:rPr>
          <w:rFonts w:ascii="Myriad Pro" w:hAnsi="Myriad Pro"/>
          <w:sz w:val="20"/>
          <w:szCs w:val="20"/>
        </w:rPr>
      </w:pPr>
    </w:p>
    <w:p w14:paraId="3EF67239" w14:textId="77777777" w:rsidR="0035791C" w:rsidRDefault="0035791C" w:rsidP="0035791C">
      <w:pPr>
        <w:spacing w:after="0" w:line="360" w:lineRule="auto"/>
        <w:rPr>
          <w:rFonts w:ascii="Myriad Pro" w:hAnsi="Myriad Pro"/>
          <w:sz w:val="20"/>
          <w:szCs w:val="20"/>
        </w:rPr>
      </w:pPr>
    </w:p>
    <w:p w14:paraId="0EA7DFB0" w14:textId="77777777" w:rsidR="0035791C" w:rsidRDefault="0035791C" w:rsidP="0035791C">
      <w:pPr>
        <w:spacing w:after="0" w:line="360" w:lineRule="auto"/>
        <w:rPr>
          <w:rFonts w:ascii="Myriad Pro" w:hAnsi="Myriad Pro"/>
          <w:sz w:val="20"/>
          <w:szCs w:val="20"/>
        </w:rPr>
      </w:pPr>
    </w:p>
    <w:p w14:paraId="1B2988CC" w14:textId="77777777" w:rsidR="0035791C" w:rsidRDefault="0035791C" w:rsidP="0035791C">
      <w:pPr>
        <w:spacing w:after="0" w:line="360" w:lineRule="auto"/>
        <w:rPr>
          <w:rFonts w:ascii="Myriad Pro" w:hAnsi="Myriad Pro"/>
          <w:sz w:val="20"/>
          <w:szCs w:val="20"/>
        </w:rPr>
      </w:pPr>
    </w:p>
    <w:p w14:paraId="2CAC840B" w14:textId="77777777" w:rsidR="00BD5176" w:rsidRDefault="00BD5176" w:rsidP="0035791C">
      <w:pPr>
        <w:spacing w:after="0" w:line="360" w:lineRule="auto"/>
        <w:rPr>
          <w:rFonts w:ascii="Myriad Pro" w:hAnsi="Myriad Pro"/>
          <w:sz w:val="20"/>
          <w:szCs w:val="20"/>
        </w:rPr>
      </w:pPr>
    </w:p>
    <w:p w14:paraId="03BCA436" w14:textId="77777777" w:rsidR="00BD5176" w:rsidRDefault="00BD5176" w:rsidP="0035791C">
      <w:pPr>
        <w:spacing w:after="0" w:line="360" w:lineRule="auto"/>
        <w:rPr>
          <w:rFonts w:ascii="Myriad Pro" w:hAnsi="Myriad Pro"/>
          <w:sz w:val="20"/>
          <w:szCs w:val="20"/>
        </w:rPr>
      </w:pPr>
    </w:p>
    <w:p w14:paraId="16FF7842" w14:textId="77777777" w:rsidR="00BD5176" w:rsidRDefault="00BD5176" w:rsidP="0035791C">
      <w:pPr>
        <w:spacing w:after="0" w:line="360" w:lineRule="auto"/>
        <w:rPr>
          <w:rFonts w:ascii="Myriad Pro" w:hAnsi="Myriad Pro"/>
          <w:sz w:val="20"/>
          <w:szCs w:val="20"/>
        </w:rPr>
      </w:pPr>
    </w:p>
    <w:p w14:paraId="7F0145C6" w14:textId="77777777" w:rsidR="00BD5176" w:rsidRDefault="00BD5176" w:rsidP="0035791C">
      <w:pPr>
        <w:spacing w:after="0" w:line="360" w:lineRule="auto"/>
        <w:rPr>
          <w:rFonts w:ascii="Myriad Pro" w:hAnsi="Myriad Pro"/>
          <w:sz w:val="20"/>
          <w:szCs w:val="20"/>
        </w:rPr>
      </w:pPr>
    </w:p>
    <w:p w14:paraId="72C84A8F" w14:textId="77777777" w:rsidR="00BD5176" w:rsidRDefault="00BD5176" w:rsidP="0035791C">
      <w:pPr>
        <w:spacing w:after="0" w:line="360" w:lineRule="auto"/>
        <w:rPr>
          <w:rFonts w:ascii="Myriad Pro" w:hAnsi="Myriad Pro"/>
          <w:sz w:val="20"/>
          <w:szCs w:val="20"/>
        </w:rPr>
      </w:pPr>
    </w:p>
    <w:p w14:paraId="74072372" w14:textId="77777777" w:rsidR="00F44518" w:rsidRDefault="00F44518" w:rsidP="0035791C">
      <w:pPr>
        <w:spacing w:after="0" w:line="360" w:lineRule="auto"/>
        <w:rPr>
          <w:rFonts w:ascii="Myriad Pro" w:hAnsi="Myriad Pro"/>
          <w:sz w:val="20"/>
          <w:szCs w:val="20"/>
        </w:rPr>
      </w:pPr>
    </w:p>
    <w:p w14:paraId="68A16F8F" w14:textId="77777777" w:rsidR="00F44518" w:rsidRDefault="00F44518" w:rsidP="0035791C">
      <w:pPr>
        <w:spacing w:after="0" w:line="360" w:lineRule="auto"/>
        <w:rPr>
          <w:rFonts w:ascii="Myriad Pro" w:hAnsi="Myriad Pro"/>
          <w:sz w:val="20"/>
          <w:szCs w:val="20"/>
        </w:rPr>
      </w:pPr>
    </w:p>
    <w:p w14:paraId="36518CBC" w14:textId="77777777" w:rsidR="00F44518" w:rsidRDefault="00F44518" w:rsidP="0035791C">
      <w:pPr>
        <w:spacing w:after="0" w:line="360" w:lineRule="auto"/>
        <w:rPr>
          <w:rFonts w:ascii="Myriad Pro" w:hAnsi="Myriad Pro"/>
          <w:sz w:val="20"/>
          <w:szCs w:val="20"/>
        </w:rPr>
      </w:pPr>
    </w:p>
    <w:p w14:paraId="5B29ADF3" w14:textId="77777777" w:rsidR="00F44518" w:rsidRDefault="00F44518" w:rsidP="0035791C">
      <w:pPr>
        <w:spacing w:after="0" w:line="360" w:lineRule="auto"/>
        <w:rPr>
          <w:rFonts w:ascii="Myriad Pro" w:hAnsi="Myriad Pro"/>
          <w:sz w:val="20"/>
          <w:szCs w:val="20"/>
        </w:rPr>
      </w:pPr>
    </w:p>
    <w:p w14:paraId="3A8EB665" w14:textId="77777777" w:rsidR="00F44518" w:rsidRDefault="00F44518" w:rsidP="0035791C">
      <w:pPr>
        <w:spacing w:after="0" w:line="360" w:lineRule="auto"/>
        <w:rPr>
          <w:rFonts w:ascii="Myriad Pro" w:hAnsi="Myriad Pro"/>
          <w:sz w:val="20"/>
          <w:szCs w:val="20"/>
        </w:rPr>
      </w:pPr>
    </w:p>
    <w:p w14:paraId="3ACB7457" w14:textId="77777777" w:rsidR="00F44518" w:rsidRDefault="00F44518" w:rsidP="0035791C">
      <w:pPr>
        <w:spacing w:after="0" w:line="360" w:lineRule="auto"/>
        <w:rPr>
          <w:rFonts w:ascii="Myriad Pro" w:hAnsi="Myriad Pro"/>
          <w:sz w:val="20"/>
          <w:szCs w:val="20"/>
        </w:rPr>
      </w:pPr>
    </w:p>
    <w:p w14:paraId="085F5695" w14:textId="2A3AFA8F"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Kontakt:</w:t>
      </w:r>
    </w:p>
    <w:p w14:paraId="4C8945AE"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4942FCDA"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Rübeländer Tropfsteinhöhlen</w:t>
      </w:r>
    </w:p>
    <w:p w14:paraId="29EB0C77"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Blankenburger Straße 35</w:t>
      </w:r>
    </w:p>
    <w:p w14:paraId="3949FFD5"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66E8569C"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Tel. 039454/49 132</w:t>
      </w:r>
    </w:p>
    <w:p w14:paraId="7A4F7C67"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tourismus@oberharzinfo.de</w:t>
      </w:r>
    </w:p>
    <w:p w14:paraId="56648489"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5AC31090" w14:textId="5D023E98" w:rsidR="0035791C" w:rsidRPr="0035791C" w:rsidRDefault="0035791C" w:rsidP="0035791C">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sectPr w:rsidR="0035791C" w:rsidRPr="0035791C"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941806">
    <w:abstractNumId w:val="2"/>
  </w:num>
  <w:num w:numId="2" w16cid:durableId="1847284004">
    <w:abstractNumId w:val="1"/>
  </w:num>
  <w:num w:numId="3" w16cid:durableId="79961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0720C"/>
    <w:rsid w:val="0001565A"/>
    <w:rsid w:val="00030B2D"/>
    <w:rsid w:val="00035441"/>
    <w:rsid w:val="0003590F"/>
    <w:rsid w:val="000435E2"/>
    <w:rsid w:val="00047A62"/>
    <w:rsid w:val="00050F40"/>
    <w:rsid w:val="00052661"/>
    <w:rsid w:val="00067346"/>
    <w:rsid w:val="000734BE"/>
    <w:rsid w:val="00082F66"/>
    <w:rsid w:val="00092BC4"/>
    <w:rsid w:val="00095AA6"/>
    <w:rsid w:val="000974C5"/>
    <w:rsid w:val="000B10E4"/>
    <w:rsid w:val="000C6330"/>
    <w:rsid w:val="000D2045"/>
    <w:rsid w:val="000D33D3"/>
    <w:rsid w:val="000E1A45"/>
    <w:rsid w:val="00123CED"/>
    <w:rsid w:val="00124D5C"/>
    <w:rsid w:val="00133D75"/>
    <w:rsid w:val="001365CB"/>
    <w:rsid w:val="0013736B"/>
    <w:rsid w:val="00166BD5"/>
    <w:rsid w:val="00171648"/>
    <w:rsid w:val="00180448"/>
    <w:rsid w:val="00181117"/>
    <w:rsid w:val="00181ECB"/>
    <w:rsid w:val="00183F28"/>
    <w:rsid w:val="00191825"/>
    <w:rsid w:val="00192D7A"/>
    <w:rsid w:val="001A0B48"/>
    <w:rsid w:val="001A4C7B"/>
    <w:rsid w:val="001A60FF"/>
    <w:rsid w:val="001B74C3"/>
    <w:rsid w:val="001C3E59"/>
    <w:rsid w:val="001C797B"/>
    <w:rsid w:val="001D08A7"/>
    <w:rsid w:val="001D36E2"/>
    <w:rsid w:val="001E2717"/>
    <w:rsid w:val="001F2084"/>
    <w:rsid w:val="002219E3"/>
    <w:rsid w:val="00226F38"/>
    <w:rsid w:val="0023443A"/>
    <w:rsid w:val="00237552"/>
    <w:rsid w:val="00240FDE"/>
    <w:rsid w:val="00243797"/>
    <w:rsid w:val="002501E5"/>
    <w:rsid w:val="00261901"/>
    <w:rsid w:val="002657E1"/>
    <w:rsid w:val="00266AE8"/>
    <w:rsid w:val="00277844"/>
    <w:rsid w:val="0029464E"/>
    <w:rsid w:val="002A10A3"/>
    <w:rsid w:val="002A1C33"/>
    <w:rsid w:val="002B06D2"/>
    <w:rsid w:val="002B6518"/>
    <w:rsid w:val="002C204D"/>
    <w:rsid w:val="002F50B7"/>
    <w:rsid w:val="003022F1"/>
    <w:rsid w:val="00303310"/>
    <w:rsid w:val="003033FD"/>
    <w:rsid w:val="003109A6"/>
    <w:rsid w:val="00311C45"/>
    <w:rsid w:val="003148B5"/>
    <w:rsid w:val="00321F7D"/>
    <w:rsid w:val="00322B7D"/>
    <w:rsid w:val="00324F6B"/>
    <w:rsid w:val="00327C6A"/>
    <w:rsid w:val="00333580"/>
    <w:rsid w:val="00335767"/>
    <w:rsid w:val="0033687B"/>
    <w:rsid w:val="003404F5"/>
    <w:rsid w:val="00351707"/>
    <w:rsid w:val="0035791C"/>
    <w:rsid w:val="00360980"/>
    <w:rsid w:val="0036448C"/>
    <w:rsid w:val="003723EF"/>
    <w:rsid w:val="00376B3D"/>
    <w:rsid w:val="003841B2"/>
    <w:rsid w:val="0039373F"/>
    <w:rsid w:val="00394DD9"/>
    <w:rsid w:val="003A568A"/>
    <w:rsid w:val="003A7648"/>
    <w:rsid w:val="003B2FC0"/>
    <w:rsid w:val="003C0603"/>
    <w:rsid w:val="003D06BA"/>
    <w:rsid w:val="003D1C66"/>
    <w:rsid w:val="003D7E28"/>
    <w:rsid w:val="003E05A3"/>
    <w:rsid w:val="003E352E"/>
    <w:rsid w:val="003E467A"/>
    <w:rsid w:val="003E78DD"/>
    <w:rsid w:val="003E7C01"/>
    <w:rsid w:val="003F2B83"/>
    <w:rsid w:val="003F4BAB"/>
    <w:rsid w:val="003F5653"/>
    <w:rsid w:val="0040175A"/>
    <w:rsid w:val="004042DC"/>
    <w:rsid w:val="004140F3"/>
    <w:rsid w:val="0042038F"/>
    <w:rsid w:val="0042691E"/>
    <w:rsid w:val="00430524"/>
    <w:rsid w:val="00435148"/>
    <w:rsid w:val="00436754"/>
    <w:rsid w:val="00437255"/>
    <w:rsid w:val="00437A08"/>
    <w:rsid w:val="00441D33"/>
    <w:rsid w:val="00444D9C"/>
    <w:rsid w:val="00447508"/>
    <w:rsid w:val="00457443"/>
    <w:rsid w:val="0046048D"/>
    <w:rsid w:val="00460FF6"/>
    <w:rsid w:val="00461954"/>
    <w:rsid w:val="0046418E"/>
    <w:rsid w:val="004764A1"/>
    <w:rsid w:val="0048649A"/>
    <w:rsid w:val="004929E1"/>
    <w:rsid w:val="004A16C3"/>
    <w:rsid w:val="004A6431"/>
    <w:rsid w:val="004B0DE5"/>
    <w:rsid w:val="004C16FC"/>
    <w:rsid w:val="004C452A"/>
    <w:rsid w:val="004C4658"/>
    <w:rsid w:val="004C5CF0"/>
    <w:rsid w:val="004C7EEB"/>
    <w:rsid w:val="004D148B"/>
    <w:rsid w:val="004D1FC5"/>
    <w:rsid w:val="004D7B57"/>
    <w:rsid w:val="004E1608"/>
    <w:rsid w:val="00500AEA"/>
    <w:rsid w:val="0051272D"/>
    <w:rsid w:val="00520B5B"/>
    <w:rsid w:val="00527975"/>
    <w:rsid w:val="00537B72"/>
    <w:rsid w:val="0054030F"/>
    <w:rsid w:val="00545272"/>
    <w:rsid w:val="00545F94"/>
    <w:rsid w:val="005461F2"/>
    <w:rsid w:val="00564968"/>
    <w:rsid w:val="00566286"/>
    <w:rsid w:val="00575EC9"/>
    <w:rsid w:val="00580494"/>
    <w:rsid w:val="00581A04"/>
    <w:rsid w:val="00587FA6"/>
    <w:rsid w:val="00596D08"/>
    <w:rsid w:val="005A1596"/>
    <w:rsid w:val="005B7F19"/>
    <w:rsid w:val="005C417F"/>
    <w:rsid w:val="005C6AD6"/>
    <w:rsid w:val="005C7C9C"/>
    <w:rsid w:val="005E1E38"/>
    <w:rsid w:val="005E2B32"/>
    <w:rsid w:val="005E307C"/>
    <w:rsid w:val="005E4677"/>
    <w:rsid w:val="006006B5"/>
    <w:rsid w:val="0061551D"/>
    <w:rsid w:val="00616C23"/>
    <w:rsid w:val="00617D93"/>
    <w:rsid w:val="006218C7"/>
    <w:rsid w:val="006223CC"/>
    <w:rsid w:val="006263E0"/>
    <w:rsid w:val="00627012"/>
    <w:rsid w:val="0064670F"/>
    <w:rsid w:val="006668D3"/>
    <w:rsid w:val="00676986"/>
    <w:rsid w:val="0068486C"/>
    <w:rsid w:val="006934EF"/>
    <w:rsid w:val="006A68B0"/>
    <w:rsid w:val="006B03E6"/>
    <w:rsid w:val="006B1E46"/>
    <w:rsid w:val="006B2EE8"/>
    <w:rsid w:val="006D65FC"/>
    <w:rsid w:val="006E0AC7"/>
    <w:rsid w:val="006E4A76"/>
    <w:rsid w:val="006E5CD0"/>
    <w:rsid w:val="006F0CC5"/>
    <w:rsid w:val="006F2D66"/>
    <w:rsid w:val="006F67A1"/>
    <w:rsid w:val="00705042"/>
    <w:rsid w:val="00713D49"/>
    <w:rsid w:val="007213B8"/>
    <w:rsid w:val="00726D90"/>
    <w:rsid w:val="007326D6"/>
    <w:rsid w:val="007345BB"/>
    <w:rsid w:val="007416AA"/>
    <w:rsid w:val="00750401"/>
    <w:rsid w:val="007546B3"/>
    <w:rsid w:val="0076751F"/>
    <w:rsid w:val="00776014"/>
    <w:rsid w:val="00797292"/>
    <w:rsid w:val="007C25D6"/>
    <w:rsid w:val="007C7FA8"/>
    <w:rsid w:val="007E7004"/>
    <w:rsid w:val="007F4C51"/>
    <w:rsid w:val="008056ED"/>
    <w:rsid w:val="00835436"/>
    <w:rsid w:val="00840201"/>
    <w:rsid w:val="00842D05"/>
    <w:rsid w:val="00843F17"/>
    <w:rsid w:val="008457B5"/>
    <w:rsid w:val="00857CD7"/>
    <w:rsid w:val="00863A85"/>
    <w:rsid w:val="00875D79"/>
    <w:rsid w:val="00882BDB"/>
    <w:rsid w:val="0089113D"/>
    <w:rsid w:val="008A2C4F"/>
    <w:rsid w:val="008B5144"/>
    <w:rsid w:val="008D2906"/>
    <w:rsid w:val="008E1F5D"/>
    <w:rsid w:val="008E5B7A"/>
    <w:rsid w:val="008F401F"/>
    <w:rsid w:val="008F424C"/>
    <w:rsid w:val="009055C0"/>
    <w:rsid w:val="00905B94"/>
    <w:rsid w:val="009111B1"/>
    <w:rsid w:val="00923327"/>
    <w:rsid w:val="0093150D"/>
    <w:rsid w:val="00932788"/>
    <w:rsid w:val="0094008C"/>
    <w:rsid w:val="00947C41"/>
    <w:rsid w:val="0097272E"/>
    <w:rsid w:val="00990D43"/>
    <w:rsid w:val="009B491C"/>
    <w:rsid w:val="009B6483"/>
    <w:rsid w:val="009C46EF"/>
    <w:rsid w:val="009C7D5C"/>
    <w:rsid w:val="009D1E02"/>
    <w:rsid w:val="009D3314"/>
    <w:rsid w:val="009D7B29"/>
    <w:rsid w:val="009E156A"/>
    <w:rsid w:val="009E5696"/>
    <w:rsid w:val="009F31D5"/>
    <w:rsid w:val="00A004CC"/>
    <w:rsid w:val="00A03059"/>
    <w:rsid w:val="00A1312B"/>
    <w:rsid w:val="00A14A7C"/>
    <w:rsid w:val="00A42A60"/>
    <w:rsid w:val="00A50EB4"/>
    <w:rsid w:val="00A5572D"/>
    <w:rsid w:val="00A6099D"/>
    <w:rsid w:val="00A62EC1"/>
    <w:rsid w:val="00A70BF9"/>
    <w:rsid w:val="00A81571"/>
    <w:rsid w:val="00A84230"/>
    <w:rsid w:val="00A85B8C"/>
    <w:rsid w:val="00A91A14"/>
    <w:rsid w:val="00A963C1"/>
    <w:rsid w:val="00AB06A1"/>
    <w:rsid w:val="00AB5439"/>
    <w:rsid w:val="00AD21A8"/>
    <w:rsid w:val="00AF46C5"/>
    <w:rsid w:val="00AF7A89"/>
    <w:rsid w:val="00B022AD"/>
    <w:rsid w:val="00B10F7B"/>
    <w:rsid w:val="00B11F53"/>
    <w:rsid w:val="00B15911"/>
    <w:rsid w:val="00B2055B"/>
    <w:rsid w:val="00B262DF"/>
    <w:rsid w:val="00B36C83"/>
    <w:rsid w:val="00B45B00"/>
    <w:rsid w:val="00B562DE"/>
    <w:rsid w:val="00B637BB"/>
    <w:rsid w:val="00B73083"/>
    <w:rsid w:val="00B87CFD"/>
    <w:rsid w:val="00B91E99"/>
    <w:rsid w:val="00B931C0"/>
    <w:rsid w:val="00BA3662"/>
    <w:rsid w:val="00BA58EC"/>
    <w:rsid w:val="00BB2E6C"/>
    <w:rsid w:val="00BC62CC"/>
    <w:rsid w:val="00BC7583"/>
    <w:rsid w:val="00BD5176"/>
    <w:rsid w:val="00BD58A3"/>
    <w:rsid w:val="00BD7BA2"/>
    <w:rsid w:val="00BE34E9"/>
    <w:rsid w:val="00BF4276"/>
    <w:rsid w:val="00BF7B38"/>
    <w:rsid w:val="00C15092"/>
    <w:rsid w:val="00C333BB"/>
    <w:rsid w:val="00C356DA"/>
    <w:rsid w:val="00C42748"/>
    <w:rsid w:val="00C4701C"/>
    <w:rsid w:val="00C50C60"/>
    <w:rsid w:val="00C64759"/>
    <w:rsid w:val="00C71F52"/>
    <w:rsid w:val="00C75707"/>
    <w:rsid w:val="00C819DB"/>
    <w:rsid w:val="00C822C6"/>
    <w:rsid w:val="00C82FD9"/>
    <w:rsid w:val="00CA078A"/>
    <w:rsid w:val="00CA2870"/>
    <w:rsid w:val="00CA4C56"/>
    <w:rsid w:val="00CB2402"/>
    <w:rsid w:val="00CB3C51"/>
    <w:rsid w:val="00CB5E56"/>
    <w:rsid w:val="00CC4C3A"/>
    <w:rsid w:val="00CD20DF"/>
    <w:rsid w:val="00CD668E"/>
    <w:rsid w:val="00CE0759"/>
    <w:rsid w:val="00CE3874"/>
    <w:rsid w:val="00CE7C75"/>
    <w:rsid w:val="00D07A7D"/>
    <w:rsid w:val="00D2324D"/>
    <w:rsid w:val="00D26032"/>
    <w:rsid w:val="00D34F0B"/>
    <w:rsid w:val="00D37BF7"/>
    <w:rsid w:val="00D40D82"/>
    <w:rsid w:val="00D45416"/>
    <w:rsid w:val="00D475C3"/>
    <w:rsid w:val="00D60CD9"/>
    <w:rsid w:val="00D71739"/>
    <w:rsid w:val="00D73A1E"/>
    <w:rsid w:val="00D801DD"/>
    <w:rsid w:val="00D806D0"/>
    <w:rsid w:val="00D81FB1"/>
    <w:rsid w:val="00D90BD1"/>
    <w:rsid w:val="00DA768E"/>
    <w:rsid w:val="00DD290A"/>
    <w:rsid w:val="00DE0DDE"/>
    <w:rsid w:val="00DE645C"/>
    <w:rsid w:val="00E04B96"/>
    <w:rsid w:val="00E04C1A"/>
    <w:rsid w:val="00E12892"/>
    <w:rsid w:val="00E14874"/>
    <w:rsid w:val="00E272C4"/>
    <w:rsid w:val="00E400B4"/>
    <w:rsid w:val="00E42F6F"/>
    <w:rsid w:val="00E431E3"/>
    <w:rsid w:val="00E43874"/>
    <w:rsid w:val="00E47B94"/>
    <w:rsid w:val="00E6287C"/>
    <w:rsid w:val="00E71D2B"/>
    <w:rsid w:val="00E93FE8"/>
    <w:rsid w:val="00EB38FD"/>
    <w:rsid w:val="00EB7E6B"/>
    <w:rsid w:val="00EC7759"/>
    <w:rsid w:val="00ED2FF1"/>
    <w:rsid w:val="00EE0866"/>
    <w:rsid w:val="00EE41CE"/>
    <w:rsid w:val="00EF39A4"/>
    <w:rsid w:val="00EF6075"/>
    <w:rsid w:val="00F04356"/>
    <w:rsid w:val="00F068C0"/>
    <w:rsid w:val="00F17D6B"/>
    <w:rsid w:val="00F210A2"/>
    <w:rsid w:val="00F2611C"/>
    <w:rsid w:val="00F32392"/>
    <w:rsid w:val="00F328F5"/>
    <w:rsid w:val="00F44518"/>
    <w:rsid w:val="00F472F0"/>
    <w:rsid w:val="00F60E28"/>
    <w:rsid w:val="00F752F5"/>
    <w:rsid w:val="00F80548"/>
    <w:rsid w:val="00F86CFD"/>
    <w:rsid w:val="00F91174"/>
    <w:rsid w:val="00F91451"/>
    <w:rsid w:val="00FA21DC"/>
    <w:rsid w:val="00FA449F"/>
    <w:rsid w:val="00FA60CE"/>
    <w:rsid w:val="00FB2206"/>
    <w:rsid w:val="00FB484C"/>
    <w:rsid w:val="00FB5A58"/>
    <w:rsid w:val="00FB7280"/>
    <w:rsid w:val="00FC302D"/>
    <w:rsid w:val="00FD4D2A"/>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 Oberharz am Brocken</cp:lastModifiedBy>
  <cp:revision>205</cp:revision>
  <cp:lastPrinted>2020-05-12T10:25:00Z</cp:lastPrinted>
  <dcterms:created xsi:type="dcterms:W3CDTF">2020-06-05T09:18:00Z</dcterms:created>
  <dcterms:modified xsi:type="dcterms:W3CDTF">2024-11-06T11:13:00Z</dcterms:modified>
</cp:coreProperties>
</file>